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8D" w:rsidRDefault="0089008D" w:rsidP="0089008D">
      <w:r>
        <w:t>Инструкция по технологии монтажа и отделке сборных гипсокартонных перегородок на металлическом каркасе поэлементной сборки</w:t>
      </w:r>
    </w:p>
    <w:p w:rsidR="0089008D" w:rsidRDefault="0089008D" w:rsidP="0089008D"/>
    <w:p w:rsidR="0089008D" w:rsidRDefault="0089008D" w:rsidP="0089008D">
      <w:r>
        <w:t>ВСН 27-95</w:t>
      </w:r>
    </w:p>
    <w:p w:rsidR="0089008D" w:rsidRDefault="0089008D" w:rsidP="0089008D">
      <w:r>
        <w:t xml:space="preserve">     </w:t>
      </w:r>
    </w:p>
    <w:p w:rsidR="0089008D" w:rsidRDefault="0089008D" w:rsidP="0089008D">
      <w:r>
        <w:t xml:space="preserve">     </w:t>
      </w:r>
    </w:p>
    <w:p w:rsidR="0089008D" w:rsidRDefault="0089008D" w:rsidP="0089008D">
      <w:r>
        <w:t>ВЕДОМСТВЕННЫЕ СТРОИТЕЛЬНЫЕ НОРМЫ</w:t>
      </w:r>
    </w:p>
    <w:p w:rsidR="0089008D" w:rsidRDefault="0089008D" w:rsidP="0089008D"/>
    <w:p w:rsidR="0089008D" w:rsidRDefault="0089008D" w:rsidP="0089008D"/>
    <w:p w:rsidR="0089008D" w:rsidRDefault="0089008D" w:rsidP="0089008D">
      <w:r>
        <w:t>Инструкция по технологии монтажа и отделке сборных</w:t>
      </w:r>
    </w:p>
    <w:p w:rsidR="0089008D" w:rsidRDefault="0089008D" w:rsidP="0089008D">
      <w:r>
        <w:t>гипсокартонных перегородок на металлическом каркасе поэлементной сборки</w:t>
      </w:r>
    </w:p>
    <w:p w:rsidR="0089008D" w:rsidRDefault="0089008D" w:rsidP="0089008D"/>
    <w:p w:rsidR="0089008D" w:rsidRDefault="0089008D" w:rsidP="0089008D"/>
    <w:p w:rsidR="0089008D" w:rsidRDefault="0089008D" w:rsidP="0089008D">
      <w:r>
        <w:t>Дата введения 1995-12-01</w:t>
      </w:r>
    </w:p>
    <w:p w:rsidR="0089008D" w:rsidRDefault="0089008D" w:rsidP="0089008D"/>
    <w:p w:rsidR="0089008D" w:rsidRDefault="0089008D" w:rsidP="0089008D"/>
    <w:p w:rsidR="0089008D" w:rsidRDefault="0089008D" w:rsidP="0089008D">
      <w:proofErr w:type="gramStart"/>
      <w:r>
        <w:t xml:space="preserve">РАЗРАБОТАНА </w:t>
      </w:r>
      <w:proofErr w:type="spellStart"/>
      <w:r>
        <w:t>НИИМосстроем</w:t>
      </w:r>
      <w:proofErr w:type="spellEnd"/>
      <w:r>
        <w:t xml:space="preserve"> Департамента строительства (д.т.н., проф. </w:t>
      </w:r>
      <w:proofErr w:type="spellStart"/>
      <w:r>
        <w:t>Е.Д.Белоусов</w:t>
      </w:r>
      <w:proofErr w:type="spellEnd"/>
      <w:r>
        <w:t xml:space="preserve">, </w:t>
      </w:r>
      <w:proofErr w:type="spellStart"/>
      <w:r>
        <w:t>инж</w:t>
      </w:r>
      <w:proofErr w:type="spellEnd"/>
      <w:r>
        <w:t>.</w:t>
      </w:r>
      <w:proofErr w:type="gramEnd"/>
      <w:r>
        <w:t xml:space="preserve"> </w:t>
      </w:r>
      <w:proofErr w:type="spellStart"/>
      <w:r>
        <w:t>А.Н.Шевченко</w:t>
      </w:r>
      <w:proofErr w:type="spellEnd"/>
      <w:r>
        <w:t xml:space="preserve">, </w:t>
      </w:r>
      <w:proofErr w:type="spellStart"/>
      <w:r>
        <w:t>инж</w:t>
      </w:r>
      <w:proofErr w:type="spellEnd"/>
      <w:r>
        <w:t xml:space="preserve">. </w:t>
      </w:r>
      <w:proofErr w:type="spellStart"/>
      <w:proofErr w:type="gramStart"/>
      <w:r>
        <w:t>А.Ю.Сатирский</w:t>
      </w:r>
      <w:proofErr w:type="spellEnd"/>
      <w:r>
        <w:t xml:space="preserve">, к.т.н. </w:t>
      </w:r>
      <w:proofErr w:type="spellStart"/>
      <w:r>
        <w:t>Я.Г.Могилевский</w:t>
      </w:r>
      <w:proofErr w:type="spellEnd"/>
      <w:r>
        <w:t xml:space="preserve">) с участием </w:t>
      </w:r>
      <w:proofErr w:type="spellStart"/>
      <w:r>
        <w:t>Мосстройлицензии</w:t>
      </w:r>
      <w:proofErr w:type="spellEnd"/>
      <w:r>
        <w:t xml:space="preserve"> (</w:t>
      </w:r>
      <w:proofErr w:type="spellStart"/>
      <w:r>
        <w:t>Ю.И.Столяров</w:t>
      </w:r>
      <w:proofErr w:type="spellEnd"/>
      <w:r>
        <w:t xml:space="preserve"> и к.т.н. </w:t>
      </w:r>
      <w:proofErr w:type="spellStart"/>
      <w:r>
        <w:t>В.Д.Фельдман</w:t>
      </w:r>
      <w:proofErr w:type="spellEnd"/>
      <w:r>
        <w:t>).</w:t>
      </w:r>
      <w:proofErr w:type="gramEnd"/>
    </w:p>
    <w:p w:rsidR="0089008D" w:rsidRDefault="0089008D" w:rsidP="0089008D"/>
    <w:p w:rsidR="0089008D" w:rsidRDefault="0089008D" w:rsidP="0089008D">
      <w:r>
        <w:t xml:space="preserve">ВНЕСЕНА </w:t>
      </w:r>
      <w:proofErr w:type="spellStart"/>
      <w:r>
        <w:t>НИИМосстроем</w:t>
      </w:r>
      <w:proofErr w:type="spellEnd"/>
    </w:p>
    <w:p w:rsidR="0089008D" w:rsidRDefault="0089008D" w:rsidP="0089008D"/>
    <w:p w:rsidR="0089008D" w:rsidRDefault="0089008D" w:rsidP="0089008D">
      <w:proofErr w:type="gramStart"/>
      <w:r>
        <w:t>СОГЛАСОВАНА</w:t>
      </w:r>
      <w:proofErr w:type="gramEnd"/>
      <w:r>
        <w:t xml:space="preserve"> с Техническим управлением АО ХК "Главмосстрой" и АООТ трест "</w:t>
      </w:r>
      <w:proofErr w:type="spellStart"/>
      <w:r>
        <w:t>Мосспецмонтаж</w:t>
      </w:r>
      <w:proofErr w:type="spellEnd"/>
      <w:r>
        <w:t>".</w:t>
      </w:r>
    </w:p>
    <w:p w:rsidR="0089008D" w:rsidRDefault="0089008D" w:rsidP="0089008D"/>
    <w:p w:rsidR="0089008D" w:rsidRDefault="0089008D" w:rsidP="0089008D">
      <w:proofErr w:type="gramStart"/>
      <w:r>
        <w:t>УТВЕРЖДЕНА</w:t>
      </w:r>
      <w:proofErr w:type="gramEnd"/>
      <w:r>
        <w:t xml:space="preserve"> Научно-техническим управлением Департамента строительства 5 октября 1995 г.</w:t>
      </w:r>
    </w:p>
    <w:p w:rsidR="0089008D" w:rsidRDefault="0089008D" w:rsidP="0089008D"/>
    <w:p w:rsidR="0089008D" w:rsidRDefault="0089008D" w:rsidP="0089008D">
      <w:r>
        <w:t>ВЗАМЕН ВСН 020-82</w:t>
      </w:r>
    </w:p>
    <w:p w:rsidR="0089008D" w:rsidRDefault="0089008D" w:rsidP="0089008D"/>
    <w:p w:rsidR="0089008D" w:rsidRDefault="0089008D" w:rsidP="0089008D"/>
    <w:p w:rsidR="0089008D" w:rsidRDefault="0089008D" w:rsidP="0089008D">
      <w:r>
        <w:lastRenderedPageBreak/>
        <w:t>При пользовании настоящей инструкцией следует учитывать утвержденные изменения, внесенные в стандарты и технические условия на материалы, применяемые при монтаже и отделке сборных гипсокартонных перегородок на металлическом каркасе поэлементной сборки.</w:t>
      </w:r>
    </w:p>
    <w:p w:rsidR="0089008D" w:rsidRDefault="0089008D" w:rsidP="0089008D"/>
    <w:p w:rsidR="0089008D" w:rsidRDefault="0089008D" w:rsidP="0089008D"/>
    <w:p w:rsidR="0089008D" w:rsidRDefault="0089008D" w:rsidP="0089008D">
      <w:r>
        <w:t>1. ОБЩИЕ ПОЛОЖЕНИЯ</w:t>
      </w:r>
    </w:p>
    <w:p w:rsidR="0089008D" w:rsidRDefault="0089008D" w:rsidP="0089008D">
      <w:r>
        <w:t>1.1. Настоящей инструкцией следует руководствоваться при устройстве гипсокартонных перегородок на металлическом каркасе поэлементной сборки (далее именуются - перегородки) в жилых, общественных, административных и промышленных зданиях.</w:t>
      </w:r>
    </w:p>
    <w:p w:rsidR="0089008D" w:rsidRDefault="0089008D" w:rsidP="0089008D">
      <w:r>
        <w:t>1.2. Перегородки применяются в зданиях с относительной влажностью до 70% и температурой не ниже 15</w:t>
      </w:r>
      <w:proofErr w:type="gramStart"/>
      <w:r>
        <w:t xml:space="preserve"> °С</w:t>
      </w:r>
      <w:proofErr w:type="gramEnd"/>
      <w:r>
        <w:t>, всех степеней огнестойкости, различной этажности и конструктивных систем, возводимых во всех регионах РФ вне зависимости от инженерно-геологических условий строительства, в том числе и в сейсмических районах.</w:t>
      </w:r>
    </w:p>
    <w:p w:rsidR="0089008D" w:rsidRDefault="0089008D" w:rsidP="0089008D">
      <w:r>
        <w:t>1.3. Перегородки предназначаются для разделения внутреннего пространства здания на отдельные помещения и дают возможность свободной планировки и трансформации помещений. Заменяя кирпичные, шлакоблочные и гипсобетонные перегородки, они облегчают вес здания, имеют высокую технологичность изготовления и монтажа, исключают оштукатуривание поверхностей, повышают производительность труда.</w:t>
      </w:r>
    </w:p>
    <w:p w:rsidR="0089008D" w:rsidRDefault="0089008D" w:rsidP="0089008D">
      <w:r>
        <w:t>1.4. Монтаж и отделка перегородок производятся по рабочим чертежам проектной организации в соответствии с требованиями альбома РС 32301 "Перегородки из гипсокартонных листов на металлическом каркасе поэлементной сборки для жилых, общественных и промышленных зданий" (рабочие чертежи), Моспроект-2, М. 1988 г.</w:t>
      </w:r>
    </w:p>
    <w:p w:rsidR="0089008D" w:rsidRDefault="0089008D" w:rsidP="0089008D"/>
    <w:p w:rsidR="0089008D" w:rsidRDefault="0089008D" w:rsidP="0089008D">
      <w:r>
        <w:t>В инструкции приводятся ссылки на указанный альбом со следующей маркировкой типовых узлов: например, РС 32301-54, узел 47, где РС 32301 - серия типового альбома; 54 - номер листа альбома; узел 47 - номер узла на листе альбома.</w:t>
      </w:r>
    </w:p>
    <w:p w:rsidR="0089008D" w:rsidRDefault="0089008D" w:rsidP="0089008D">
      <w:r>
        <w:t xml:space="preserve">1.5. </w:t>
      </w:r>
      <w:proofErr w:type="gramStart"/>
      <w:r>
        <w:t>Область применения перегородок: в гражданских зданиях - жилые дома, предприятия торговли, учебные заведения, лечебно-профилактические учреждения и т.д.; в промышленных зданиях - многоэтажные здания радиотехнической, электронной, приборостроительной промышленности, инженерные корпуса и т.д.</w:t>
      </w:r>
      <w:proofErr w:type="gramEnd"/>
    </w:p>
    <w:p w:rsidR="0089008D" w:rsidRDefault="0089008D" w:rsidP="0089008D"/>
    <w:p w:rsidR="0089008D" w:rsidRDefault="0089008D" w:rsidP="0089008D">
      <w:r>
        <w:t>2. ТЕХНИЧЕСКИЕ ТРЕБОВАНИЯ К МАТЕРИАЛАМ, ПРИМЕНЯЕМЫМ ДЛЯ УСТРОЙСТВА СБОРНЫХ ГИПСОКАРТОННЫХ ПЕРЕГОРОДОК</w:t>
      </w:r>
    </w:p>
    <w:p w:rsidR="0089008D" w:rsidRDefault="0089008D" w:rsidP="0089008D"/>
    <w:p w:rsidR="0089008D" w:rsidRDefault="0089008D" w:rsidP="0089008D">
      <w:r>
        <w:t>2.1. Материалы для каркаса</w:t>
      </w:r>
    </w:p>
    <w:p w:rsidR="0089008D" w:rsidRDefault="0089008D" w:rsidP="0089008D">
      <w:r>
        <w:t>2.1.1. Элементы каркаса перегородок и защиты торцов гипсокартонных листов выполняют из стальных холодноформованных гнутых профилей по ТУ 400-28-287-81.</w:t>
      </w:r>
    </w:p>
    <w:p w:rsidR="0089008D" w:rsidRDefault="0089008D" w:rsidP="0089008D"/>
    <w:p w:rsidR="0089008D" w:rsidRDefault="0089008D" w:rsidP="0089008D">
      <w:r>
        <w:t>Приняты следующие обозначения элементов, которые применяются в сборных гипсокартонных перегородках:</w:t>
      </w:r>
    </w:p>
    <w:p w:rsidR="0089008D" w:rsidRDefault="0089008D" w:rsidP="0089008D"/>
    <w:p w:rsidR="0089008D" w:rsidRDefault="0089008D" w:rsidP="0089008D">
      <w:r>
        <w:t>ПС - профиль стойка;</w:t>
      </w:r>
    </w:p>
    <w:p w:rsidR="0089008D" w:rsidRDefault="0089008D" w:rsidP="0089008D"/>
    <w:p w:rsidR="0089008D" w:rsidRDefault="0089008D" w:rsidP="0089008D">
      <w:proofErr w:type="gramStart"/>
      <w:r>
        <w:t>ПН</w:t>
      </w:r>
      <w:proofErr w:type="gramEnd"/>
      <w:r>
        <w:t xml:space="preserve"> - профиль направляющий;</w:t>
      </w:r>
    </w:p>
    <w:p w:rsidR="0089008D" w:rsidRDefault="0089008D" w:rsidP="0089008D"/>
    <w:p w:rsidR="0089008D" w:rsidRDefault="0089008D" w:rsidP="0089008D">
      <w:r>
        <w:t>ПП - профиль промежуточный;</w:t>
      </w:r>
    </w:p>
    <w:p w:rsidR="0089008D" w:rsidRDefault="0089008D" w:rsidP="0089008D"/>
    <w:p w:rsidR="0089008D" w:rsidRDefault="0089008D" w:rsidP="0089008D">
      <w:r>
        <w:t>ПУ</w:t>
      </w:r>
      <w:proofErr w:type="gramStart"/>
      <w:r>
        <w:t>2</w:t>
      </w:r>
      <w:proofErr w:type="gramEnd"/>
      <w:r>
        <w:t xml:space="preserve"> - профиль угловой;</w:t>
      </w:r>
    </w:p>
    <w:p w:rsidR="0089008D" w:rsidRDefault="0089008D" w:rsidP="0089008D"/>
    <w:p w:rsidR="0089008D" w:rsidRDefault="0089008D" w:rsidP="0089008D">
      <w:r>
        <w:t>ПБ</w:t>
      </w:r>
      <w:proofErr w:type="gramStart"/>
      <w:r>
        <w:t>7</w:t>
      </w:r>
      <w:proofErr w:type="gramEnd"/>
      <w:r>
        <w:t xml:space="preserve"> - профиль торцевой (буртик);</w:t>
      </w:r>
    </w:p>
    <w:p w:rsidR="0089008D" w:rsidRDefault="0089008D" w:rsidP="0089008D"/>
    <w:p w:rsidR="0089008D" w:rsidRDefault="0089008D" w:rsidP="0089008D">
      <w:proofErr w:type="gramStart"/>
      <w:r>
        <w:t>СМ</w:t>
      </w:r>
      <w:proofErr w:type="gramEnd"/>
      <w:r>
        <w:t xml:space="preserve"> - винты </w:t>
      </w:r>
      <w:proofErr w:type="spellStart"/>
      <w:r>
        <w:t>самосверлящие</w:t>
      </w:r>
      <w:proofErr w:type="spellEnd"/>
      <w:r>
        <w:t xml:space="preserve"> - самонарезающие.</w:t>
      </w:r>
    </w:p>
    <w:p w:rsidR="0089008D" w:rsidRDefault="0089008D" w:rsidP="0089008D">
      <w:r>
        <w:t>2.1.2. Марки металлических профилей для каркаса и для защиты торцов гипсокартонных листов от повреждений должны применяться в соответствии с указаниями проекта.</w:t>
      </w:r>
    </w:p>
    <w:p w:rsidR="0089008D" w:rsidRDefault="0089008D" w:rsidP="0089008D"/>
    <w:p w:rsidR="0089008D" w:rsidRDefault="0089008D" w:rsidP="0089008D">
      <w:r>
        <w:t>Применение металлических профилей из стальной ленты толщиной 0,6; 0,.....* мм вместо 0,5 мм допускается по согласованию с потребителем и организацией - автором проекта.</w:t>
      </w:r>
    </w:p>
    <w:p w:rsidR="0089008D" w:rsidRDefault="0089008D" w:rsidP="0089008D">
      <w:r>
        <w:t>________________</w:t>
      </w:r>
    </w:p>
    <w:p w:rsidR="0089008D" w:rsidRDefault="0089008D" w:rsidP="0089008D">
      <w:r>
        <w:t xml:space="preserve">* </w:t>
      </w:r>
      <w:proofErr w:type="gramStart"/>
      <w:r>
        <w:t>Брак оригинала</w:t>
      </w:r>
      <w:proofErr w:type="gramEnd"/>
      <w:r>
        <w:t>. - Примечание "КОДЕКС".</w:t>
      </w:r>
    </w:p>
    <w:p w:rsidR="0089008D" w:rsidRDefault="0089008D" w:rsidP="0089008D">
      <w:r>
        <w:t xml:space="preserve">2.1.3. Для крепления гипсокартонных листов к металлическому каркасу применяют </w:t>
      </w:r>
      <w:proofErr w:type="spellStart"/>
      <w:r>
        <w:t>самосверлящие</w:t>
      </w:r>
      <w:proofErr w:type="spellEnd"/>
      <w:r>
        <w:t xml:space="preserve"> - самонарезающие винты, которые должны удовлетворять ТУ 400-28-461-84.</w:t>
      </w:r>
    </w:p>
    <w:p w:rsidR="0089008D" w:rsidRDefault="0089008D" w:rsidP="0089008D"/>
    <w:p w:rsidR="0089008D" w:rsidRDefault="0089008D" w:rsidP="0089008D">
      <w:r>
        <w:t>Материал винтов должен иметь сертификат завода-изготовителя, удостоверяющий их качество.</w:t>
      </w:r>
    </w:p>
    <w:p w:rsidR="0089008D" w:rsidRDefault="0089008D" w:rsidP="0089008D">
      <w:r>
        <w:t>2.2. Конструктивно-отделочный материал</w:t>
      </w:r>
    </w:p>
    <w:p w:rsidR="0089008D" w:rsidRDefault="0089008D" w:rsidP="0089008D">
      <w:r>
        <w:t>2.2.1. Основным конструктивно-отделочным материалом для перегородок являются гипсокартонные листы по ГОСТ 6266-89 (далее именуются - ГКЛ), изготовленные из строительного гипса, армированного стекловолокном, и картона, прочно соединенного с гипсовым сердечником.</w:t>
      </w:r>
    </w:p>
    <w:p w:rsidR="0089008D" w:rsidRDefault="0089008D" w:rsidP="0089008D">
      <w:r>
        <w:t>2.2.2. ГКЛ по ГОСТ 6266-89 изготавливаются промышленностью следующих размеров:</w:t>
      </w:r>
    </w:p>
    <w:p w:rsidR="0089008D" w:rsidRDefault="0089008D" w:rsidP="0089008D"/>
    <w:p w:rsidR="0089008D" w:rsidRDefault="0089008D" w:rsidP="0089008D">
      <w:r>
        <w:t>- по длине от 1500 до 4000 мм (стандарт 2500 мм);</w:t>
      </w:r>
    </w:p>
    <w:p w:rsidR="0089008D" w:rsidRDefault="0089008D" w:rsidP="0089008D"/>
    <w:p w:rsidR="0089008D" w:rsidRDefault="0089008D" w:rsidP="0089008D">
      <w:r>
        <w:t>- по ширине 1200 мм;</w:t>
      </w:r>
    </w:p>
    <w:p w:rsidR="0089008D" w:rsidRDefault="0089008D" w:rsidP="0089008D"/>
    <w:p w:rsidR="0089008D" w:rsidRDefault="0089008D" w:rsidP="0089008D">
      <w:r>
        <w:t>- по толщине от 8 до 25 мм (стандарт 12,5 мм).</w:t>
      </w:r>
    </w:p>
    <w:p w:rsidR="0089008D" w:rsidRDefault="0089008D" w:rsidP="0089008D"/>
    <w:p w:rsidR="0089008D" w:rsidRDefault="0089008D" w:rsidP="0089008D">
      <w:r>
        <w:t>С 1995 г. гипсокартонные листы изготавливаются АОСП "ТИГИ-К</w:t>
      </w:r>
      <w:proofErr w:type="gramStart"/>
      <w:r>
        <w:t>NAYF</w:t>
      </w:r>
      <w:proofErr w:type="gramEnd"/>
      <w:r>
        <w:t>" по ТУ 5742-005-04001508-95 следующих номинальных геометрических размеров:</w:t>
      </w:r>
    </w:p>
    <w:p w:rsidR="0089008D" w:rsidRDefault="0089008D" w:rsidP="0089008D"/>
    <w:p w:rsidR="0089008D" w:rsidRDefault="0089008D" w:rsidP="0089008D">
      <w:r>
        <w:t>- по длине от 2000 до 4000 мм с шагом 250 мм;</w:t>
      </w:r>
    </w:p>
    <w:p w:rsidR="0089008D" w:rsidRDefault="0089008D" w:rsidP="0089008D"/>
    <w:p w:rsidR="0089008D" w:rsidRDefault="0089008D" w:rsidP="0089008D">
      <w:r>
        <w:t>- по ширине 1200 мм;</w:t>
      </w:r>
    </w:p>
    <w:p w:rsidR="0089008D" w:rsidRDefault="0089008D" w:rsidP="0089008D">
      <w:r>
        <w:t>- по толщине 9,5; 12,5; 15 мм.</w:t>
      </w:r>
    </w:p>
    <w:p w:rsidR="0089008D" w:rsidRDefault="0089008D" w:rsidP="0089008D"/>
    <w:p w:rsidR="0089008D" w:rsidRDefault="0089008D" w:rsidP="0089008D">
      <w:r>
        <w:t>ГКЛ толщиной более 18 мм имеют ширину 600 и 1200 мм, длину от 2000 до 3500 мм с шагом 250 мм.</w:t>
      </w:r>
    </w:p>
    <w:p w:rsidR="0089008D" w:rsidRDefault="0089008D" w:rsidP="0089008D"/>
    <w:p w:rsidR="0089008D" w:rsidRDefault="0089008D" w:rsidP="0089008D">
      <w:r>
        <w:t>Длина листов определяется при заказе в зависимости от высоты перегородки.</w:t>
      </w:r>
    </w:p>
    <w:p w:rsidR="0089008D" w:rsidRDefault="0089008D" w:rsidP="0089008D">
      <w:r>
        <w:t>2.2.3. Отклонения от номинальных размеров ГКЛ, величины и количество допускаемых дефектов на лицевой поверхности не должны превышать норм, указанных в ГОСТ 6266-89 и ТУ 5742-005-04001508-95.</w:t>
      </w:r>
    </w:p>
    <w:p w:rsidR="0089008D" w:rsidRDefault="0089008D" w:rsidP="0089008D">
      <w:r>
        <w:t xml:space="preserve">2.2.4. Влажность по массе ГКЛ, </w:t>
      </w:r>
      <w:proofErr w:type="gramStart"/>
      <w:r>
        <w:t>получаемых</w:t>
      </w:r>
      <w:proofErr w:type="gramEnd"/>
      <w:r>
        <w:t xml:space="preserve"> с завода-изготовителя, должна быть не более 1%.</w:t>
      </w:r>
    </w:p>
    <w:p w:rsidR="0089008D" w:rsidRDefault="0089008D" w:rsidP="0089008D">
      <w:r>
        <w:t>2.2.5. Объемная масса ГКЛ при влажности 1% должна быть не более 850 кг/</w:t>
      </w:r>
      <w:proofErr w:type="spellStart"/>
      <w:r>
        <w:t>мВСН</w:t>
      </w:r>
      <w:proofErr w:type="spellEnd"/>
      <w:r>
        <w:t xml:space="preserve"> 27-95 Инструкция по технологии монтажа и отделке сборных гипсокартонных перегородок на металлическом каркасе поэлементной сборки.</w:t>
      </w:r>
    </w:p>
    <w:p w:rsidR="0089008D" w:rsidRDefault="0089008D" w:rsidP="0089008D">
      <w:r>
        <w:t>2.2.6. Прочность ГКЛ, определяемая методом испытаний по ГОСТ 6266-89, должна быть по разрушаемой нагрузке на изгиб не менее 35 кгс/</w:t>
      </w:r>
      <w:proofErr w:type="spellStart"/>
      <w:r>
        <w:t>смВСН</w:t>
      </w:r>
      <w:proofErr w:type="spellEnd"/>
      <w:r>
        <w:t xml:space="preserve"> 27-95 Инструкция по технологии монтажа и отделке сборных гипсокартонных перегородок на металлическом каркасе поэлементной сборки.</w:t>
      </w:r>
    </w:p>
    <w:p w:rsidR="0089008D" w:rsidRDefault="0089008D" w:rsidP="0089008D">
      <w:r>
        <w:t xml:space="preserve">2.2.7. ГКЛ должны относиться к группе </w:t>
      </w:r>
      <w:proofErr w:type="spellStart"/>
      <w:r>
        <w:t>трудносгораемых</w:t>
      </w:r>
      <w:proofErr w:type="spellEnd"/>
      <w:r>
        <w:t xml:space="preserve"> (</w:t>
      </w:r>
      <w:proofErr w:type="spellStart"/>
      <w:r>
        <w:t>трудногорючих</w:t>
      </w:r>
      <w:proofErr w:type="spellEnd"/>
      <w:r>
        <w:t xml:space="preserve">) материалов по </w:t>
      </w:r>
      <w:proofErr w:type="gramStart"/>
      <w:r>
        <w:t>СТ</w:t>
      </w:r>
      <w:proofErr w:type="gramEnd"/>
      <w:r>
        <w:t xml:space="preserve"> СЭВ 2437.</w:t>
      </w:r>
    </w:p>
    <w:p w:rsidR="0089008D" w:rsidRDefault="0089008D" w:rsidP="0089008D">
      <w:r>
        <w:t>2.3. Материалы для звукоизоляции и герметизации.</w:t>
      </w:r>
    </w:p>
    <w:p w:rsidR="0089008D" w:rsidRDefault="0089008D" w:rsidP="0089008D">
      <w:r>
        <w:lastRenderedPageBreak/>
        <w:t>2.3.1. В качестве звукоизоляционных материалов следует применять:</w:t>
      </w:r>
    </w:p>
    <w:p w:rsidR="0089008D" w:rsidRDefault="0089008D" w:rsidP="0089008D"/>
    <w:p w:rsidR="0089008D" w:rsidRDefault="0089008D" w:rsidP="0089008D">
      <w:r>
        <w:t>- плитные материалы по ГОСТ 9573-82 и ГОСТ 10499-78;</w:t>
      </w:r>
    </w:p>
    <w:p w:rsidR="0089008D" w:rsidRDefault="0089008D" w:rsidP="0089008D"/>
    <w:p w:rsidR="0089008D" w:rsidRDefault="0089008D" w:rsidP="0089008D">
      <w:r>
        <w:t>- рулонные материалы по ГОСТ 21880-76 и ТУ 21-РСФСР-1 301-84.</w:t>
      </w:r>
    </w:p>
    <w:p w:rsidR="0089008D" w:rsidRDefault="0089008D" w:rsidP="0089008D">
      <w:r>
        <w:t>2.3.2. Звукоизоляционные материалы, получаемые с завода-изготовителя, должны иметь ширину 600 мм и толщину 50...60 мм.</w:t>
      </w:r>
    </w:p>
    <w:p w:rsidR="0089008D" w:rsidRDefault="0089008D" w:rsidP="0089008D">
      <w:r>
        <w:t xml:space="preserve">2.3.3. Звукоизоляционные материалы не должны выделять вредных веществ. Не допускается применение звукоизоляционных материалов на </w:t>
      </w:r>
      <w:proofErr w:type="gramStart"/>
      <w:r>
        <w:t>фенолформальдегидном</w:t>
      </w:r>
      <w:proofErr w:type="gramEnd"/>
      <w:r>
        <w:t xml:space="preserve"> связующем.</w:t>
      </w:r>
    </w:p>
    <w:p w:rsidR="0089008D" w:rsidRDefault="0089008D" w:rsidP="0089008D">
      <w:r>
        <w:t>2.3.4. Объемная масса звукоизоляционных материалов должна быть не более 100 кг/</w:t>
      </w:r>
      <w:proofErr w:type="spellStart"/>
      <w:r>
        <w:t>мВСН</w:t>
      </w:r>
      <w:proofErr w:type="spellEnd"/>
      <w:r>
        <w:t xml:space="preserve"> 27-95 Инструкция по технологии монтажа и отделке сборных гипсокартонных перегородок на металлическом каркасе поэлементной сборки.</w:t>
      </w:r>
    </w:p>
    <w:p w:rsidR="0089008D" w:rsidRDefault="0089008D" w:rsidP="0089008D">
      <w:r>
        <w:t xml:space="preserve">2.3.5. Звукоизоляционные материалы должны быть негорючими или </w:t>
      </w:r>
      <w:proofErr w:type="spellStart"/>
      <w:r>
        <w:t>трудносгораемыми</w:t>
      </w:r>
      <w:proofErr w:type="spellEnd"/>
      <w:r>
        <w:t>.</w:t>
      </w:r>
    </w:p>
    <w:p w:rsidR="0089008D" w:rsidRDefault="0089008D" w:rsidP="0089008D">
      <w:r>
        <w:t>2.3.6. Герметик для заполнения мест сопряжения перегородок с перекрытиями и стенами должен быть светлых тонов, водостойким, негорючим, готовым к применению в тубах с набором насадок, необходимых для заполнения разных по форме швов сопряжения.</w:t>
      </w:r>
    </w:p>
    <w:p w:rsidR="0089008D" w:rsidRDefault="0089008D" w:rsidP="0089008D">
      <w:r>
        <w:t>2.3.7. Для герметизации следует применять герметик АК-1 (ТУ 400-1-411-12-94). При применении других герметиков их необходимо проверять на соответствие нормативным требованиям герметизации.</w:t>
      </w:r>
    </w:p>
    <w:p w:rsidR="0089008D" w:rsidRDefault="0089008D" w:rsidP="0089008D">
      <w:r>
        <w:t xml:space="preserve">2.3.8. Допускается для заполнения мест сопряжения перегородок со строительными конструкциями применять паклю, смоченную </w:t>
      </w:r>
      <w:proofErr w:type="spellStart"/>
      <w:r>
        <w:t>гипсополимерным</w:t>
      </w:r>
      <w:proofErr w:type="spellEnd"/>
      <w:r>
        <w:t xml:space="preserve"> раствором.</w:t>
      </w:r>
    </w:p>
    <w:p w:rsidR="0089008D" w:rsidRDefault="0089008D" w:rsidP="0089008D"/>
    <w:p w:rsidR="0089008D" w:rsidRDefault="0089008D" w:rsidP="0089008D">
      <w:r>
        <w:t>3. ТРАНСПОРТИРОВКА И ХРАНЕНИЕ ЭЛЕМЕНТОВ СБОРКИ ГИПСОКАРТОННЫХ ПЕРЕГОРОДОК</w:t>
      </w:r>
    </w:p>
    <w:p w:rsidR="0089008D" w:rsidRDefault="0089008D" w:rsidP="0089008D"/>
    <w:p w:rsidR="0089008D" w:rsidRDefault="0089008D" w:rsidP="0089008D">
      <w:r>
        <w:t>3.1. Металлические тонкостенные профили перегородок должны поставляться на объекты пакетами, стянутыми металлическими лентами, любым видом транспорта при условии защиты от механических повреждений.</w:t>
      </w:r>
    </w:p>
    <w:p w:rsidR="0089008D" w:rsidRDefault="0089008D" w:rsidP="0089008D">
      <w:r>
        <w:t>3.2. Пакеты с профилем должны храниться под навесом.</w:t>
      </w:r>
    </w:p>
    <w:p w:rsidR="0089008D" w:rsidRDefault="0089008D" w:rsidP="0089008D">
      <w:r>
        <w:t>3.3. Поставщик профилей должен гарантировать соответствие их нормативным документам при соблюдении потребителем условий транспортировки и хранения. Срок хранения 12 месяцев со дня отгрузки потребителю.</w:t>
      </w:r>
    </w:p>
    <w:p w:rsidR="0089008D" w:rsidRDefault="0089008D" w:rsidP="0089008D">
      <w:r>
        <w:t>3.4. Транспортирование ГКЛ должно выполняться централизованно в контейнерах или на специальных поддонах в условиях, исключающих увлажнение, загрязнение и механическое повреждение листов.</w:t>
      </w:r>
    </w:p>
    <w:p w:rsidR="0089008D" w:rsidRDefault="0089008D" w:rsidP="0089008D">
      <w:r>
        <w:lastRenderedPageBreak/>
        <w:t>3.5. При транспортировке ГКЛ должны находиться в горизонтальном положении, а высота штабеля не должна превышать 1,5 м.</w:t>
      </w:r>
    </w:p>
    <w:p w:rsidR="0089008D" w:rsidRDefault="0089008D" w:rsidP="0089008D">
      <w:r>
        <w:t>3.6. Для предотвращения увлажнения и загрязнения ГКЛ рекомендуется пачки (5-8 листов в пачке) упаковывать в водостойкие материалы (упаковочная бумага, полиэтиленовая пленка).</w:t>
      </w:r>
    </w:p>
    <w:p w:rsidR="0089008D" w:rsidRDefault="0089008D" w:rsidP="0089008D">
      <w:r>
        <w:t>3.7. Хранить ГКЛ следует в сухом закрытом помещении при температуре окружающего воздуха не ниже +5</w:t>
      </w:r>
      <w:proofErr w:type="gramStart"/>
      <w:r>
        <w:t xml:space="preserve"> °С</w:t>
      </w:r>
      <w:proofErr w:type="gramEnd"/>
      <w:r>
        <w:t>, на расстоянии 1,5 м от отопительных приборов.</w:t>
      </w:r>
    </w:p>
    <w:p w:rsidR="0089008D" w:rsidRDefault="0089008D" w:rsidP="0089008D">
      <w:r>
        <w:t>3.8. На строительной площадке допускается в монтажной зоне непродолжительное время, не более 6 ч, хранить ГКЛ упакованными в водонепроницаемую бумагу или пленку (при температуре не ниже 0 °С).</w:t>
      </w:r>
    </w:p>
    <w:p w:rsidR="0089008D" w:rsidRDefault="0089008D" w:rsidP="0089008D">
      <w:r>
        <w:t>3.9. Перевозить звукоизоляционные материалы, указанные в п.2.3.1, можно любыми видами транспорта при условии их защиты от увлажнения.</w:t>
      </w:r>
    </w:p>
    <w:p w:rsidR="0089008D" w:rsidRDefault="0089008D" w:rsidP="0089008D">
      <w:r>
        <w:t>3.10. Хранение звукоизоляционных материалов должно производиться в закрытых складах или под навесом в упакованном виде при условии предохранения их от увлажнения.</w:t>
      </w:r>
    </w:p>
    <w:p w:rsidR="0089008D" w:rsidRDefault="0089008D" w:rsidP="0089008D">
      <w:r>
        <w:t>3.11. Винты могут перевозиться любым видом транспорта упакованными в ящики или коробки, снабженные ярлыками.</w:t>
      </w:r>
    </w:p>
    <w:p w:rsidR="0089008D" w:rsidRDefault="0089008D" w:rsidP="0089008D">
      <w:r>
        <w:t>3.12. Хранение винтов производить под навесом.</w:t>
      </w:r>
    </w:p>
    <w:p w:rsidR="0089008D" w:rsidRDefault="0089008D" w:rsidP="0089008D">
      <w:r>
        <w:t>3.13. Срок гарантии для винтов - 18 месяцев со дня поступления их к потребителю.</w:t>
      </w:r>
    </w:p>
    <w:p w:rsidR="0089008D" w:rsidRDefault="0089008D" w:rsidP="0089008D">
      <w:r>
        <w:t>3.14. Хранение всех элементов сборных гипсокартонных перегородок на открытом воздухе не допускается.</w:t>
      </w:r>
    </w:p>
    <w:p w:rsidR="0089008D" w:rsidRDefault="0089008D" w:rsidP="0089008D"/>
    <w:p w:rsidR="0089008D" w:rsidRDefault="0089008D" w:rsidP="0089008D">
      <w:r>
        <w:t>4. ТРЕБОВАНИЯ К ЗВУКОИЗОЛЯЦИИ И ОГНЕСТОЙКОСТИ СБОРНЫХ ГИПСОКАРТОННЫХ ПЕРЕГОРОДОК</w:t>
      </w:r>
    </w:p>
    <w:p w:rsidR="0089008D" w:rsidRDefault="0089008D" w:rsidP="0089008D"/>
    <w:p w:rsidR="0089008D" w:rsidRDefault="0089008D" w:rsidP="0089008D">
      <w:r>
        <w:t>4.1. Для повышения звукоизоляции глухих перегородок без существенного увеличения их приведенной поверхностной плотности* рекомендуется заполнять промежуток между ГКЛ звукопоглощающим материалом по всей поверхности перегородки. Особое внимание должно быть обращено на места сопряжения перегородки с другими конструкциями и проходы коммуникаций через перегородку.</w:t>
      </w:r>
    </w:p>
    <w:p w:rsidR="0089008D" w:rsidRDefault="0089008D" w:rsidP="0089008D">
      <w:proofErr w:type="gramStart"/>
      <w:r>
        <w:t>_____________</w:t>
      </w:r>
      <w:proofErr w:type="gramEnd"/>
    </w:p>
    <w:p w:rsidR="0089008D" w:rsidRDefault="0089008D" w:rsidP="0089008D">
      <w:proofErr w:type="gramStart"/>
      <w:r>
        <w:t>* Поверхностной плотностью (кг/</w:t>
      </w:r>
      <w:proofErr w:type="spellStart"/>
      <w:r>
        <w:t>мВСН</w:t>
      </w:r>
      <w:proofErr w:type="spellEnd"/>
      <w:r>
        <w:t xml:space="preserve"> 27-95 Инструкция по технологии монтажа и отделке сборных гипсокартонных перегородок на металлическом каркасе поэлементной сборки</w:t>
      </w:r>
      <w:proofErr w:type="gramEnd"/>
    </w:p>
    <w:p w:rsidR="0089008D" w:rsidRDefault="0089008D" w:rsidP="0089008D">
      <w:r>
        <w:t>Доступ к полной версии этого документа ограничен</w:t>
      </w:r>
    </w:p>
    <w:p w:rsidR="00000F0F" w:rsidRDefault="0089008D" w:rsidP="0089008D">
      <w:r>
        <w:t>Ознакомиться с документом вы можете, заказав бесплатную демонстрацию систем «Кодекс» и «</w:t>
      </w:r>
      <w:proofErr w:type="spellStart"/>
      <w:r>
        <w:t>Техэксперт</w:t>
      </w:r>
      <w:proofErr w:type="spellEnd"/>
      <w:r>
        <w:t>».</w:t>
      </w:r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8D"/>
    <w:rsid w:val="00000F0F"/>
    <w:rsid w:val="008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2016-06-14T07:31:00Z</dcterms:created>
  <dcterms:modified xsi:type="dcterms:W3CDTF">2016-06-14T07:31:00Z</dcterms:modified>
</cp:coreProperties>
</file>